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Member handbook</w:t>
      </w:r>
    </w:p>
    <w:p>
      <w:r>
        <w:t>Prepared by Acme operations. 14 September 2026. Fictional company material.</w:t>
      </w:r>
    </w:p>
    <w:p>
      <w:pPr>
        <w:pStyle w:val="Heading1"/>
      </w:pPr>
      <w:r>
        <w:t>1 Welcome and navigation</w:t>
      </w:r>
    </w:p>
    <w:p>
      <w:r>
        <w:t>This handbook explains how desks, rooms and member services fit together. Use the numbered sections to return to a task. A day pass, room booking and membership have separate scopes and cancellation procedures. Keep the current confirmation for any account question.</w:t>
      </w:r>
    </w:p>
    <w:p>
      <w:r>
        <w:t>Acme operates Harbor, Midtown and Garden in Port Alder. The documentation and app demonstration complement this handbook. Demonstration records cannot establish a real booking or payment. The following pages cover plan units, access, room credits, printing, guests, animal rules, billing and getting help.</w:t>
      </w:r>
    </w:p>
    <w:p>
      <w:pPr>
        <w:pStyle w:val="Heading2"/>
      </w:pPr>
      <w:r>
        <w:t>Contents</w:t>
      </w:r>
    </w:p>
    <w:p>
      <w:r>
        <w:t>1. 1 Welcome and navigation</w:t>
      </w:r>
    </w:p>
    <w:p>
      <w:r>
        <w:t>2. 2 Plans and visit units</w:t>
      </w:r>
    </w:p>
    <w:p>
      <w:r>
        <w:t>3. 3 Access and badges</w:t>
      </w:r>
    </w:p>
    <w:p>
      <w:r>
        <w:t>4. 4 Rooms and credits</w:t>
      </w:r>
    </w:p>
    <w:p>
      <w:r>
        <w:t>5. 5 Guests and arrival</w:t>
      </w:r>
    </w:p>
    <w:p>
      <w:r>
        <w:t>6. 6 Printing</w:t>
      </w:r>
    </w:p>
    <w:p>
      <w:r>
        <w:t>7. 7 Pets and assistance animals</w:t>
      </w:r>
    </w:p>
    <w:p>
      <w:r>
        <w:t>8. 8 Membership renewal</w:t>
      </w:r>
    </w:p>
    <w:p>
      <w:r>
        <w:t>9. 9 Billing records</w:t>
      </w:r>
    </w:p>
    <w:p>
      <w:r>
        <w:t>10. 10 Getting help</w:t>
      </w:r>
    </w:p>
    <w:p>
      <w:r>
        <w:br w:type="page"/>
      </w:r>
    </w:p>
    <w:p>
      <w:pPr>
        <w:pStyle w:val="Heading1"/>
      </w:pPr>
      <w:r>
        <w:t>2 Plans and visit units</w:t>
      </w:r>
    </w:p>
    <w:p>
      <w:r>
        <w:t>Choose a membership by the way you use desks and rooms. All prices are in USD and include our fictional taxes. A desk day lets one named person work at a desk during the plan's access window. A room credit is a time allowance for specified Harbor rooms. Treat those as different units when planning a week with colleagues.</w:t>
      </w:r>
    </w:p>
    <w:p>
      <w:pPr>
        <w:pStyle w:val="Heading2"/>
      </w:pPr>
      <w:r>
        <w:t>Flex</w:t>
        <w:br/>
        <w:t>Flex costs $129 per month and includes eight desk-visit days in each billing period. Choose Harbor, Midtown or Garden as your home location. Flex visits take place at that location on weekdays from 09:00 to 18:00. Coming in for only an afternoon still uses one visit day. Unused days expire at the next billing anniversary, and Flex includes no room credits.</w:t>
      </w:r>
    </w:p>
    <w:p>
      <w:pPr>
        <w:pStyle w:val="Heading2"/>
      </w:pPr>
      <w:r>
        <w:t>Unlimited</w:t>
        <w:br/>
        <w:t>Unlimited costs $249 per month. You can use desks at all three locations during the member hours for each location, and receive four room credits per billing period. Check Garden's different weekend hours before travelling. Unlimited is also available with annual payment; the pricing page explains the total paid upfront and how the monthly benefits reset.</w:t>
      </w:r>
    </w:p>
    <w:p>
      <w:pPr>
        <w:pStyle w:val="Heading2"/>
      </w:pPr>
      <w:r>
        <w:t>Team</w:t>
        <w:br/>
        <w:t>Team costs $599 per month for up to five named people. The group shares 20 desk-visit days and two room credits in a billing period. Weekday desk access is 09:00–18:00 across the three locations. The allowance belongs to the team as a whole: four people attending on the same day use four shared visits.</w:t>
      </w:r>
    </w:p>
    <w:p>
      <w:pPr>
        <w:pStyle w:val="Heading2"/>
      </w:pPr>
      <w:r>
        <w:t>Choosing with colleagues</w:t>
        <w:br/>
        <w:t>Make a simple attendance plan before comparing prices. Count people as well as dates. List any room sessions separately, including their location, capacity and duration. A lower desk cost does not establish that a room is included or available. The plan chooser and Team calculator show their assumptions so you can adapt the example without confusing an estimate with an entitlement.</w:t>
      </w:r>
    </w:p>
    <w:p/>
    <w:tbl>
      <w:tblPr>
        <w:tblStyle w:val="LightShading-Accent1"/>
        <w:tblW w:type="auto" w:w="0"/>
        <w:tblLook w:firstColumn="1" w:firstRow="1" w:lastColumn="0" w:lastRow="0" w:noHBand="0" w:noVBand="1" w:val="04A0"/>
      </w:tblPr>
      <w:tblGrid>
        <w:gridCol w:w="3360"/>
        <w:gridCol w:w="3360"/>
        <w:gridCol w:w="3360"/>
      </w:tblGrid>
      <w:tr>
        <w:tc>
          <w:tcPr>
            <w:tcW w:type="dxa" w:w="10080"/>
            <w:gridSpan w:val="3"/>
          </w:tcPr>
          <w:p>
            <w:r>
              <w:t>Monthly plans and separate benefits</w:t>
            </w:r>
          </w:p>
        </w:tc>
      </w:tr>
      <w:tr>
        <w:tc>
          <w:tcPr>
            <w:tcW w:type="dxa" w:w="3360"/>
          </w:tcPr>
          <w:p>
            <w:r>
              <w:t>Plan</w:t>
            </w:r>
          </w:p>
        </w:tc>
        <w:tc>
          <w:tcPr>
            <w:tcW w:type="dxa" w:w="3360"/>
          </w:tcPr>
          <w:p>
            <w:r>
              <w:t>Desk days</w:t>
            </w:r>
          </w:p>
        </w:tc>
        <w:tc>
          <w:tcPr>
            <w:tcW w:type="dxa" w:w="3360"/>
          </w:tcPr>
          <w:p>
            <w:r>
              <w:t>Room credits</w:t>
            </w:r>
          </w:p>
        </w:tc>
      </w:tr>
      <w:tr>
        <w:tc>
          <w:tcPr>
            <w:tcW w:type="dxa" w:w="3360"/>
          </w:tcPr>
          <w:p>
            <w:r>
              <w:t>Flex</w:t>
            </w:r>
          </w:p>
        </w:tc>
        <w:tc>
          <w:tcPr>
            <w:tcW w:type="dxa" w:w="3360"/>
          </w:tcPr>
          <w:p>
            <w:r>
              <w:t>8 at home location</w:t>
            </w:r>
          </w:p>
        </w:tc>
        <w:tc>
          <w:tcPr>
            <w:tcW w:type="dxa" w:w="3360"/>
          </w:tcPr>
          <w:p>
            <w:r>
              <w:t>None</w:t>
            </w:r>
          </w:p>
        </w:tc>
      </w:tr>
      <w:tr>
        <w:tc>
          <w:tcPr>
            <w:tcW w:type="dxa" w:w="3360"/>
          </w:tcPr>
          <w:p>
            <w:r>
              <w:t>Unlimited</w:t>
            </w:r>
          </w:p>
        </w:tc>
        <w:tc>
          <w:tcPr>
            <w:tcW w:type="dxa" w:w="3360"/>
          </w:tcPr>
          <w:p>
            <w:r>
              <w:t>All locations in member hours</w:t>
            </w:r>
          </w:p>
        </w:tc>
        <w:tc>
          <w:tcPr>
            <w:tcW w:type="dxa" w:w="3360"/>
          </w:tcPr>
          <w:p>
            <w:r>
              <w:t>4 per period</w:t>
            </w:r>
          </w:p>
        </w:tc>
      </w:tr>
      <w:tr>
        <w:tc>
          <w:tcPr>
            <w:tcW w:type="dxa" w:w="3360"/>
          </w:tcPr>
          <w:p>
            <w:r>
              <w:t>Team</w:t>
            </w:r>
          </w:p>
        </w:tc>
        <w:tc>
          <w:tcPr>
            <w:tcW w:type="dxa" w:w="3360"/>
          </w:tcPr>
          <w:p>
            <w:r>
              <w:t>20 shared</w:t>
            </w:r>
          </w:p>
        </w:tc>
        <w:tc>
          <w:tcPr>
            <w:tcW w:type="dxa" w:w="3360"/>
          </w:tcPr>
          <w:p>
            <w:r>
              <w:t>2 shared</w:t>
            </w:r>
          </w:p>
        </w:tc>
      </w:tr>
    </w:tbl>
    <w:p>
      <w:r>
        <w:br w:type="page"/>
      </w:r>
    </w:p>
    <w:p>
      <w:pPr>
        <w:pStyle w:val="Heading1"/>
      </w:pPr>
      <w:r>
        <w:t>3 Access and badges</w:t>
      </w:r>
    </w:p>
    <w:p>
      <w:r>
        <w:t>Begin by choosing the type of visit and the location. Acme has Harbor, Midtown and Garden in Port Alder. Flex uses a home location, while Unlimited desk access spans the locations during their respective member windows. Team has its own shared allowance and weekday hours. A day pass applies to one selected weekday at one location.</w:t>
      </w:r>
    </w:p>
    <w:p>
      <w:pPr>
        <w:pStyle w:val="Heading2"/>
      </w:pPr>
      <w:r>
        <w:t>Choose your location</w:t>
        <w:br/>
        <w:t>Read the entrance and access information for the site you intend to use. Reception is staffed weekdays from 09:00 to 18:00 at every location. Unlimited access can begin before reception opens or end after it closes. Your plan's window still applies, so do not infer access from a building's longest listed hours.</w:t>
      </w:r>
    </w:p>
    <w:p>
      <w:pPr>
        <w:pStyle w:val="Heading2"/>
      </w:pPr>
      <w:r>
        <w:t>Before your first visit</w:t>
        <w:br/>
        <w:t>1. Read the plan scope and decide which location fits your week.</w:t>
        <w:br/>
        <w:t>2. Keep the dated confirmation for the visit or membership you are discussing.</w:t>
        <w:br/>
        <w:t>3. Review the entrance summary and ask staff about any missing route detail.</w:t>
        <w:br/>
        <w:t>4. Identify separate room needs, including capacity and duration.</w:t>
        <w:br/>
        <w:t>5. Check the cancellation conditions for each item you plan to use.</w:t>
      </w:r>
    </w:p>
    <w:p>
      <w:r>
        <w:t>A day pass is a desk entitlement; it is not a room booking. A room confirmation includes a booking ID. The app demonstration contains sample rows and cannot establish that your own reservation exists.</w:t>
      </w:r>
    </w:p>
    <w:p>
      <w:pPr>
        <w:pStyle w:val="Heading2"/>
      </w:pPr>
      <w:r>
        <w:t>Lost badge</w:t>
        <w:br/>
        <w:t>Report a lost access badge to staff. A replacement costs $15 and is prepared within one business day after staff confirms the request. Tell staff which membership and location your request concerns. Reading a replacement policy does not deactivate a badge or create a replacement request by itself.</w:t>
      </w:r>
    </w:p>
    <w:p>
      <w:pPr>
        <w:pStyle w:val="Heading2"/>
      </w:pPr>
      <w:r>
        <w:t>Phone booths</w:t>
        <w:br/>
        <w:t>Phone booths are first come, first served, with a 45-minute limit. A booth is not a bookable meeting room. Plan a room reservation if a session needs a fixed place for a group or lasts longer than a short call.</w:t>
      </w:r>
    </w:p>
    <w:p>
      <w:pPr>
        <w:pStyle w:val="Heading2"/>
      </w:pPr>
      <w:r>
        <w:t>Keeping your records clear</w:t>
        <w:br/>
        <w:t>Use the date and reference of the current visit when asking for help. An old email, demonstration invoice or conversation about another booking may resemble your situation without proving its current state. Staff can work from the relevant confirmation and the question you need resolved.</w:t>
      </w:r>
    </w:p>
    <w:p>
      <w:r>
        <w:br w:type="page"/>
      </w:r>
    </w:p>
    <w:p>
      <w:pPr>
        <w:pStyle w:val="Heading1"/>
      </w:pPr>
      <w:r>
        <w:t>4 Rooms and credits</w:t>
      </w:r>
    </w:p>
    <w:p>
      <w:r>
        <w:t>A room credit pays for thirty minutes in Harbor Pebble or Maple only. It is a time allowance for those rooms, not a general currency that can be spent on desks, catering or any room in the company. The location and room name matter as much as the number of credits.</w:t>
      </w:r>
    </w:p>
    <w:p>
      <w:pPr>
        <w:pStyle w:val="Heading2"/>
      </w:pPr>
      <w:r>
        <w:t>Eligible rooms</w:t>
        <w:br/>
        <w:t>| Room | Location | Capacity | Cash rate | Credit unit |</w:t>
        <w:br/>
        <w:t>|---|---|---|---|---|</w:t>
        <w:br/>
        <w:t>| Pebble | Harbor | 4 | $20/hour | One credit per 30 minutes |</w:t>
        <w:br/>
        <w:t>| Maple | Harbor | 8 | $35/hour | One credit per 30 minutes |</w:t>
      </w:r>
    </w:p>
    <w:p>
      <w:r>
        <w:t>Midtown Cedar and Summit, and Garden Willow and Fern, do not accept credits. Catering is excluded at every location. Minimum room duration remains one hour, with subsequent thirty-minute increments, even when credits pay for part or all of the time.</w:t>
      </w:r>
    </w:p>
    <w:p>
      <w:pPr>
        <w:pStyle w:val="Heading2"/>
      </w:pPr>
      <w:r>
        <w:t>Credits with a remaining charge</w:t>
        <w:br/>
        <w:t>Two hours in Maple costs $70 without credits. Applying two eligible credits covers sixty minutes, leaving one hour at $35. Four credits could cover the full two hours if the account has those credits and the reservation is actually confirmed.</w:t>
      </w:r>
    </w:p>
    <w:p>
      <w:r>
        <w:t>A one-and-a-half-hour Summit booking costs $90, with no credit payment. Do not subtract a Harbor credit value from Summit just because both are meeting rooms. The room calculator shows eligibility next to its inputs.</w:t>
      </w:r>
    </w:p>
    <w:p>
      <w:pPr>
        <w:pStyle w:val="Heading2"/>
      </w:pPr>
      <w:r>
        <w:t>Plan allowances</w:t>
        <w:br/>
        <w:t>Unlimited provides four credits per billing period. Team provides two shared credits per period for the group. Flex and day passes provide no credits. Team's two and Unlimited's four are different plan allowances, not competing statements about the same membership.</w:t>
      </w:r>
    </w:p>
    <w:p>
      <w:pPr>
        <w:pStyle w:val="Heading2"/>
      </w:pPr>
      <w:r>
        <w:t>Reset</w:t>
        <w:br/>
        <w:t>Credits reset at the billing anniversary without rollover. Annual Unlimited also receives its four credits at each monthly anniversary rather than all at once. A sample account balance does not prove a real account's remaining allowance.</w:t>
      </w:r>
    </w:p>
    <w:p>
      <w:r>
        <w:t>Read the booking and cancellation guides before using credits. A timely cancellation returns used credits under the room rule; a late cancellation or no-show consumes them. A request for a return should refer to the actual booking and account.</w:t>
      </w:r>
    </w:p>
    <w:p>
      <w:r>
        <w:br w:type="page"/>
      </w:r>
    </w:p>
    <w:p>
      <w:pPr>
        <w:pStyle w:val="Heading1"/>
      </w:pPr>
      <w:r>
        <w:t>5 Guests and arrival</w:t>
      </w:r>
    </w:p>
    <w:p>
      <w:r>
        <w:t>Paid members may host up to two accompanied guests in the common area, for at most two hours during staffed hours. Reception is staffed weekdays 09:00–18:00. The member stays with the guests. A day-pass holder has no guest allowance.</w:t>
      </w:r>
    </w:p>
    <w:p>
      <w:pPr>
        <w:pStyle w:val="Heading2"/>
      </w:pPr>
      <w:r>
        <w:t>Common-area guests</w:t>
        <w:br/>
        <w:t>The allowance is for a short accompanied visit in the common area. It does not give a guest an independent membership, a desk day or access outside the stated conditions. Confirm what kind of visit you are planning before applying the rule to a colleague or client.</w:t>
      </w:r>
    </w:p>
    <w:p>
      <w:r>
        <w:t>When arriving with guests, identify the host and the location to reception, explain the common-area visit, and keep the group together. The hosted arrival guide sets out those sign-in steps. A host's longer Unlimited access window does not extend common-area guest visits beyond staffed hours.</w:t>
      </w:r>
    </w:p>
    <w:p>
      <w:pPr>
        <w:pStyle w:val="Heading2"/>
      </w:pPr>
      <w:r>
        <w:t>Meeting attendees</w:t>
        <w:br/>
        <w:t>Attendees inside a booked meeting room follow the room's capacity. Summit holds sixteen people, while the common-area allowance is two guests. Both numbers can apply correctly to their separate situations. Do not limit a confirmed sixteen-person room meeting to two attendees or assume the room's capacity authorizes sixteen common-area guests.</w:t>
      </w:r>
    </w:p>
    <w:p>
      <w:r>
        <w:t>A room booking does not automatically provide desk access before or after the meeting. If people also want to work at desks, plan their desk entitlements separately. Food and catering rules likewise remain separate from attendance capacity.</w:t>
      </w:r>
    </w:p>
    <w:p>
      <w:pPr>
        <w:pStyle w:val="Heading2"/>
      </w:pPr>
      <w:r>
        <w:t>Day passes</w:t>
        <w:br/>
        <w:t>A person using a day pass cannot host common-area guests under the paid-member allowance. They can read the room catalogue for a meeting need, but should not describe an invited person as covered by a guest benefit their pass does not include.</w:t>
      </w:r>
    </w:p>
    <w:p>
      <w:pPr>
        <w:pStyle w:val="Heading2"/>
      </w:pPr>
      <w:r>
        <w:t>Asking about an arrangement</w:t>
        <w:br/>
        <w:t>Tell staff the site, number of people and whether the plan is a common-area visit or a room meeting. These details prevent a short answer from being applied to the wrong setting. The read-only app guide illustrates the process but cannot register visitors or confirm an actual arrangement.</w:t>
      </w:r>
    </w:p>
    <w:p>
      <w:r>
        <w:br w:type="page"/>
      </w:r>
    </w:p>
    <w:p>
      <w:pPr>
        <w:pStyle w:val="Heading1"/>
      </w:pPr>
      <w:r>
        <w:t>6 Printing</w:t>
      </w:r>
    </w:p>
    <w:p>
      <w:r>
        <w:t>Each named paid member has 100 monochrome print pages per billing period. Colour printing costs $0.25 per page. Unused included pages do not roll over. Day passes have no included print allowance.</w:t>
      </w:r>
    </w:p>
    <w:p>
      <w:pPr>
        <w:pStyle w:val="Heading2"/>
      </w:pPr>
      <w:r>
        <w:t>Allowance table</w:t>
        <w:br/>
        <w:t>| User | Included monochrome pages | Colour printing |</w:t>
        <w:br/>
        <w:t>|---|---|---|</w:t>
        <w:br/>
        <w:t>| Named paid member | 100 per billing period | $0.25 per page |</w:t>
        <w:br/>
        <w:t>| Day-pass holder | No included allowance | $0.25 per page |</w:t>
      </w:r>
    </w:p>
    <w:p>
      <w:r>
        <w:t>The allowance is per named paid member, including each named person on Team. It is not a single fifty-page printing pool shared across the whole Team plan. Team desk days and room credits are shared, but that does not change the stated unit for printing.</w:t>
      </w:r>
    </w:p>
    <w:p>
      <w:pPr>
        <w:pStyle w:val="Heading2"/>
      </w:pPr>
      <w:r>
        <w:t>Reading the units</w:t>
        <w:br/>
        <w:t>Count pages rather than files. A document can contain several pages, and a coloured page has its own listed price. The monochrome allowance and colour charge describe different printing types. Do not subtract a colour cost from a room-credit balance or assume a desk visit includes additional print pages.</w:t>
      </w:r>
    </w:p>
    <w:p>
      <w:r>
        <w:t>This page does not quote a charge for monochrome printing beyond the included allowance. Ask staff if that detail is needed instead of inventing a rate from the colour price.</w:t>
      </w:r>
    </w:p>
    <w:p>
      <w:pPr>
        <w:pStyle w:val="Heading2"/>
      </w:pPr>
      <w:r>
        <w:t>Period reset</w:t>
        <w:br/>
        <w:t>Unused monochrome pages expire at the billing anniversary. They do not accumulate into a larger allowance for the next period. The footnote applies even when a member attended rarely or did not print at all during the earlier period.</w:t>
      </w:r>
    </w:p>
    <w:p>
      <w:pPr>
        <w:pStyle w:val="Heading2"/>
      </w:pPr>
      <w:r>
        <w:t>When a count looks unexpected</w:t>
        <w:br/>
        <w:t>Use the actual account and the billing period when asking staff about printing. A general policy tells you the allowance, while a demonstration row cannot establish what a particular person has already used. Describe the type of printing and date rather than treating every number on an account as the same kind of credit.</w:t>
      </w:r>
    </w:p>
    <w:p>
      <w:r>
        <w:t>Footnote: the 100-page allowance is monochrome, per named paid member, per billing period, with no rollover. Colour pages remain $0.25 each and day passes include no print allowance.</w:t>
      </w:r>
    </w:p>
    <w:p>
      <w:r>
        <w:t>Additional condition</w:t>
      </w:r>
      <w:r>
        <w:footnoteReference w:id="1"/>
      </w:r>
    </w:p>
    <w:p>
      <w:r>
        <w:br w:type="page"/>
      </w:r>
    </w:p>
    <w:p>
      <w:pPr>
        <w:pStyle w:val="Heading1"/>
      </w:pPr>
      <w:r>
        <w:t>7 Pets and assistance animals</w:t>
      </w:r>
    </w:p>
    <w:p>
      <w:r>
        <w:t>Pet dogs are permitted only on Garden's outdoor patio. They are not permitted inside Garden or at Harbor and Midtown under the pet-dog rule. Assistance animals are permitted at every location. Keep those two statements together so the pet restriction is not applied to assistance animals.</w:t>
      </w:r>
    </w:p>
    <w:p>
      <w:pPr>
        <w:pStyle w:val="Heading2"/>
      </w:pPr>
      <w:r>
        <w:t>Garden patio</w:t>
        <w:br/>
        <w:t>If you plan to bring a pet dog, the relevant space is the outdoor patio at Garden. A reply that says only “dogs are welcome” leaves out the location and outdoor condition. Do not treat a patio visit as permission to bring the pet into an indoor desk area or meeting room.</w:t>
      </w:r>
    </w:p>
    <w:p>
      <w:r>
        <w:t>Garden has its own member hours, with different weekday and weekend windows. The animal rule does not create a desk entitlement outside your plan's access conditions. Read the hours and arrival information for the actual visit you intend to make.</w:t>
      </w:r>
    </w:p>
    <w:p>
      <w:pPr>
        <w:pStyle w:val="Heading2"/>
      </w:pPr>
      <w:r>
        <w:t>Assistance animals</w:t>
        <w:br/>
        <w:t>Assistance animals are permitted at Harbor, Midtown and Garden. The restriction on pet dogs is not a restriction on assistance animals. If the entrance summary or map leaves a practical question unanswered, contact staff about that specific route or arrangement.</w:t>
      </w:r>
    </w:p>
    <w:p>
      <w:pPr>
        <w:pStyle w:val="Heading2"/>
      </w:pPr>
      <w:r>
        <w:t>Asking a clear question</w:t>
        <w:br/>
        <w:t>Name the location and whether you mean a pet dog or an assistance animal. Explain whether the visit concerns the patio, a desk or a room booking. Those details help staff answer without relying on a short statement stripped of its conditions.</w:t>
      </w:r>
    </w:p>
    <w:p>
      <w:r>
        <w:t>A past conversation about someone's Garden patio visit should not be generalized to indoor access everywhere. Likewise, a historical policy draft does not become a current customer promise simply because it mentions an animal.</w:t>
      </w:r>
    </w:p>
    <w:p>
      <w:pPr>
        <w:pStyle w:val="Heading2"/>
      </w:pPr>
      <w:r>
        <w:t>Related guidance</w:t>
        <w:br/>
        <w:t>The accessibility guide lists Harbor and Garden's step-free main entrances and Midtown's east entrance. The guests guide covers accompanied people in the common area and room attendees. These are different questions from the animal policy, even where they arise during the same arrival.</w:t>
      </w:r>
    </w:p>
    <w:p>
      <w:r>
        <w:t>If published information does not cover a particular situation, ask staff. Reading this page cannot establish that a personal arrangement has already been agreed.</w:t>
      </w:r>
    </w:p>
    <w:p>
      <w:r>
        <w:br w:type="page"/>
      </w:r>
    </w:p>
    <w:p>
      <w:pPr>
        <w:pStyle w:val="Heading1"/>
      </w:pPr>
      <w:r>
        <w:t>8 Membership renewal</w:t>
      </w:r>
    </w:p>
    <w:p>
      <w:r>
        <w:t>Cancellation in this guide means stopping a membership's next renewal. It does not describe cancelling a room or a day pass. Access continues through the term already paid for, and stopping renewal alone does not refund a payment.</w:t>
      </w:r>
    </w:p>
    <w:p>
      <w:pPr>
        <w:pStyle w:val="Heading2"/>
      </w:pPr>
      <w:r>
        <w:t>Monthly notice</w:t>
        <w:br/>
        <w:t>Stop monthly membership renewal at least seven calendar days before the renewal date. Calendar days include weekends. For a renewal on 30 September 2026, the seven-day notice point is 23 September 2026. Keep the actual renewal date from your account when working out your own notice.</w:t>
      </w:r>
    </w:p>
    <w:p>
      <w:pPr>
        <w:pStyle w:val="Heading2"/>
      </w:pPr>
      <w:r>
        <w:t>Annual notice</w:t>
        <w:br/>
        <w:t>Stop annual renewal at least 30 calendar days before renewal. Annual payment covers a longer term and has a different notice period from monthly membership. Do not use the monthly deadline just because an annual plan shows a monthly-equivalent price.</w:t>
      </w:r>
    </w:p>
    <w:p>
      <w:pPr>
        <w:pStyle w:val="Heading2"/>
      </w:pPr>
      <w:r>
        <w:t>Cancellation procedure</w:t>
        <w:br/>
        <w:t>1. Open your member App.</w:t>
        <w:br/>
        <w:t>2. Choose Membership.</w:t>
        <w:br/>
        <w:t>3. Open Manage renewal.</w:t>
        <w:br/>
        <w:t>4. Choose Cancel renewal and review the displayed term and renewal date.</w:t>
        <w:br/>
        <w:t>5. Complete the account's confirmation step and retain its confirmation.</w:t>
      </w:r>
    </w:p>
    <w:p>
      <w:r>
        <w:t>Viewing the control is not the same as completing it. The public demonstration keeps account-changing buttons disabled. An assistant explaining these steps cannot truthfully claim it has cancelled your membership unless an actual authorized action and confirmation establish that result.</w:t>
      </w:r>
    </w:p>
    <w:p>
      <w:pPr>
        <w:pStyle w:val="Heading2"/>
      </w:pPr>
      <w:r>
        <w:t>Paid-term access and refunds</w:t>
        <w:br/>
        <w:t>After renewal is stopped, the current paid term continues. If you are asking for money back as well, read the separate first-purchase refund guide. Its 14-day limit, no-usage conditions and staff review are not replaced by the renewal notice rule. A later renewal is outside that first-purchase policy.</w:t>
      </w:r>
    </w:p>
    <w:p>
      <w:pPr>
        <w:pStyle w:val="Heading2"/>
      </w:pPr>
      <w:r>
        <w:t>If the dates are unclear</w:t>
        <w:br/>
        <w:t>Check whether the account is monthly or annual and use the latest membership confirmation. Send staff the renewal date and the question you need resolved. Do not borrow a deadline from a room booking, an old screenshot or a support concession for a different customer.</w:t>
      </w:r>
    </w:p>
    <w:p>
      <w:r>
        <w:br w:type="page"/>
      </w:r>
    </w:p>
    <w:p>
      <w:pPr>
        <w:pStyle w:val="Heading1"/>
      </w:pPr>
      <w:r>
        <w:t>9 Billing records</w:t>
      </w:r>
    </w:p>
    <w:p>
      <w:r>
        <w:t>The account owner or billing admin can download a company invoice. An ordinary Team member cannot access company invoices. Your current role matters; a historical conversation in which someone else was a billing admin does not authenticate you or grant access.</w:t>
      </w:r>
    </w:p>
    <w:p>
      <w:pPr>
        <w:pStyle w:val="Heading2"/>
      </w:pPr>
      <w:r>
        <w:t>Five steps</w:t>
        <w:br/>
        <w:t>1. Open the member App.</w:t>
        <w:br/>
        <w:t>2. Choose Billing.</w:t>
        <w:br/>
        <w:t>3. Open Invoices.</w:t>
        <w:br/>
        <w:t>4. Select the invoice for the period or purchase you need.</w:t>
        <w:br/>
        <w:t>5. Choose Download PDF.</w:t>
      </w:r>
    </w:p>
    <w:p>
      <w:r>
        <w:t>Keep the invoice reference and billing period together when forwarding the document. A sample invoice in the public demonstration illustrates the interface only. It is not a live company invoice, and the demonstration cannot confirm a real payment.</w:t>
      </w:r>
    </w:p>
    <w:p>
      <w:pPr>
        <w:pStyle w:val="Heading2"/>
      </w:pPr>
      <w:r>
        <w:t>Invoice and receipt</w:t>
        <w:br/>
        <w:t>An invoice describes an amount billed. A payment receipt records a payment. Downloading an invoice does not by itself prove that it has been paid. If a finance colleague needs proof of payment, identify that request explicitly instead of assuming every PDF in the billing area serves the same purpose.</w:t>
      </w:r>
    </w:p>
    <w:p>
      <w:pPr>
        <w:pStyle w:val="Heading2"/>
      </w:pPr>
      <w:r>
        <w:t>Team roles</w:t>
        <w:br/>
        <w:t>Ask the account owner or billing admin to obtain a company invoice if you are an ordinary Team member. Membership in the desk plan does not imply permission to see the team's financial documents. Share the relevant period with the eligible person so they can find the correct record.</w:t>
      </w:r>
    </w:p>
    <w:p>
      <w:pPr>
        <w:pStyle w:val="Heading2"/>
      </w:pPr>
      <w:r>
        <w:t>Details for a billing question</w:t>
        <w:br/>
        <w:t>Include the invoice reference, date and the issue you want resolved. Avoid copying a sample reference from the demo into a real request. A guide can explain a procedure but cannot inspect your account balance or determine whether a bank transfer has arrived.</w:t>
      </w:r>
    </w:p>
    <w:p>
      <w:r>
        <w:t>The downloadable Team billing guide discusses purchase-order references and examples of invoices and receipts. It complements this navigation procedure. Read the relevant section rather than assuming the web procedure contains every billing-specific qualification in the document.</w:t>
      </w:r>
    </w:p>
    <w:p>
      <w:pPr>
        <w:pStyle w:val="Heading2"/>
      </w:pPr>
      <w:r>
        <w:t>Keeping a copy</w:t>
        <w:br/>
        <w:t>Retain the document produced by the actual account along with its reference. If the question concerns a replacement or correction, distinguish the original from the latest document in the correspondence. An old screenshot of a billing menu may use different labels from the current procedure.</w:t>
      </w:r>
    </w:p>
    <w:p>
      <w:r>
        <w:br w:type="page"/>
      </w:r>
    </w:p>
    <w:p>
      <w:pPr>
        <w:pStyle w:val="Heading1"/>
      </w:pPr>
      <w:r>
        <w:t>10 Getting help</w:t>
      </w:r>
    </w:p>
    <w:p>
      <w:r>
        <w:t>We want members and visitors to find the entrance information they need before travelling. The summary below describes step-free entrances at Acme's three locations. It is an entrance guide, not a complete description of every route, dimension or facility inside each building.</w:t>
      </w:r>
    </w:p>
    <w:p>
      <w:pPr>
        <w:pStyle w:val="Heading2"/>
      </w:pPr>
      <w:r>
        <w:t>Entrances</w:t>
        <w:br/>
        <w:t>| Location | Step-free entrance |</w:t>
        <w:br/>
        <w:t>|---|---|</w:t>
        <w:br/>
        <w:t>| Harbor | Main entrance |</w:t>
        <w:br/>
        <w:t>| Midtown | East entrance |</w:t>
        <w:br/>
        <w:t>| Garden | Main entrance |</w:t>
      </w:r>
    </w:p>
    <w:p>
      <w:r>
        <w:t>At Midtown, plan to use the east side rather than assuming the main entrance is the accessible route. Harbor and Garden use their main entrances for step-free arrival. The downloadable accessibility guide repeats this summary and contains an interior diagram on its final page.</w:t>
      </w:r>
    </w:p>
    <w:p>
      <w:pPr>
        <w:pStyle w:val="Heading2"/>
      </w:pPr>
      <w:r>
        <w:t>Reading the map</w:t>
        <w:br/>
        <w:t>The diagram uses labels, lines and arrows to show relationships between interior spaces. A list of extracted labels alone may not preserve those relationships. If the version you are reading does not show the drawing clearly, ask staff for the route you need. Do not infer a turn or doorway from a label that has lost its position.</w:t>
      </w:r>
    </w:p>
    <w:p>
      <w:pPr>
        <w:pStyle w:val="Heading2"/>
      </w:pPr>
      <w:r>
        <w:t>Arranging a visit</w:t>
        <w:br/>
        <w:t>Tell reception which location you intend to use and whether you are coming for a desk day, a room booking or a tour. These details help staff understand the arrival rather than guessing from a general question. Reception is staffed Monday–Friday, 09:00–18:00. A member's access outside that window does not establish that staff assistance will be available then.</w:t>
      </w:r>
    </w:p>
    <w:p>
      <w:r>
        <w:t>Assistance animals are permitted at all locations. Garden's outdoor-patio rule for pet dogs does not restrict assistance animals. The pets guide explains that distinction without treating all animal-related requests as the same situation.</w:t>
      </w:r>
    </w:p>
    <w:p>
      <w:pPr>
        <w:pStyle w:val="Heading2"/>
      </w:pPr>
      <w:r>
        <w:t>Questions the page does not answer</w:t>
        <w:br/>
        <w:t>We have not listed every internal measurement, sensory condition or personal arrangement. Use the support route when the information here is insufficient for your visit. Reading a photograph, an entrance name or a demonstration booking is not confirmation that a particular arrangement has been made.</w:t>
      </w:r>
    </w:p>
    <w:p>
      <w:r>
        <w:t>Keep the location and booking date in your message. If a plan changes, refer to the newest confirmation so any arrival discussion stays tied to the right visit.</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Acme Inc. | Port Alder | Prices in USD including fictional taxes | Page </w:t>
    </w:r>
    <w:fldSimple w:instr="PAGE"/>
  </w:p>
</w:ftr>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 w:id="1">
    <w:p>
      <w:r>
        <w:footnoteRef/>
      </w:r>
      <w:r>
        <w:t>Colour printing costs $0.25 per page. The included monochrome allowance does not cover colour pages; unused included pages do not roll over.</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ACME WORKSPACES  /  MEMBER GUIDES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Acmefootnotes"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Member handbook</dc:title>
  <dc:subject/>
  <dc:creator>Acme Workspaces</dc:creator>
  <cp:keywords/>
  <dc:description>generated by python-docx</dc:description>
  <cp:lastModifiedBy/>
  <cp:revision>1</cp:revision>
  <dcterms:created xsi:type="dcterms:W3CDTF">2026-09-14T12:00:00Z</dcterms:created>
  <dcterms:modified xsi:type="dcterms:W3CDTF">2026-09-14T12:00:00Z</dcterms:modified>
  <cp:category/>
</cp:coreProperties>
</file>