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Team billing guide</w:t>
      </w:r>
    </w:p>
    <w:p>
      <w:r>
        <w:t>Prepared by Acme operations. 14 September 2026. Fictional company material.</w:t>
      </w:r>
    </w:p>
    <w:p>
      <w:pPr>
        <w:pStyle w:val="Heading1"/>
      </w:pPr>
      <w:r>
        <w:t>1 Billing roles</w:t>
      </w:r>
    </w:p>
    <w:p>
      <w:r>
        <w:t>Team costs $599 per month for up to five named people. The group shares 20 desk-visit days and two room credits in each billing period. Desk access is weekdays 09:00–18:00 at all three locations. The shared pool is counted across the named people, not separately for each person.</w:t>
      </w:r>
    </w:p>
    <w:p>
      <w:pPr>
        <w:pStyle w:val="Heading2"/>
      </w:pPr>
      <w:r>
        <w:t>Pool rules</w:t>
        <w:br/>
        <w:t>One attending person uses one visit day. Several colleagues visiting on the same date each consume a visit. A partial day also uses a visit for that person. Unused days and credits expire at the billing anniversary without rollover.</w:t>
      </w:r>
    </w:p>
    <w:tbl>
      <w:tblPr>
        <w:tblStyle w:val="LightShading-Accent1"/>
        <w:tblW w:type="auto" w:w="0"/>
        <w:tblLook w:firstColumn="1" w:firstRow="1" w:lastColumn="0" w:lastRow="0" w:noHBand="0" w:noVBand="1" w:val="04A0"/>
      </w:tblPr>
      <w:tblGrid>
        <w:gridCol w:w="3360"/>
        <w:gridCol w:w="3360"/>
        <w:gridCol w:w="3360"/>
      </w:tblGrid>
      <w:tr>
        <w:tc>
          <w:tcPr>
            <w:tcW w:type="dxa" w:w="3360"/>
          </w:tcPr>
          <w:p>
            <w:r>
              <w:t>Attendance example</w:t>
            </w:r>
          </w:p>
        </w:tc>
        <w:tc>
          <w:tcPr>
            <w:tcW w:type="dxa" w:w="3360"/>
          </w:tcPr>
          <w:p>
            <w:r>
              <w:t>Calculation</w:t>
            </w:r>
          </w:p>
        </w:tc>
        <w:tc>
          <w:tcPr>
            <w:tcW w:type="dxa" w:w="3360"/>
          </w:tcPr>
          <w:p>
            <w:r>
              <w:t>Shared visits used</w:t>
            </w:r>
          </w:p>
        </w:tc>
      </w:tr>
      <w:tr>
        <w:tc>
          <w:tcPr>
            <w:tcW w:type="dxa" w:w="3360"/>
          </w:tcPr>
          <w:p>
            <w:r>
              <w:t>Four people on one date</w:t>
            </w:r>
          </w:p>
        </w:tc>
        <w:tc>
          <w:tcPr>
            <w:tcW w:type="dxa" w:w="3360"/>
          </w:tcPr>
          <w:p>
            <w:r>
              <w:t>4 × 1</w:t>
            </w:r>
          </w:p>
        </w:tc>
        <w:tc>
          <w:tcPr>
            <w:tcW w:type="dxa" w:w="3360"/>
          </w:tcPr>
          <w:p>
            <w:r>
              <w:t>4</w:t>
            </w:r>
          </w:p>
        </w:tc>
      </w:tr>
      <w:tr>
        <w:tc>
          <w:tcPr>
            <w:tcW w:type="dxa" w:w="3360"/>
          </w:tcPr>
          <w:p>
            <w:r>
              <w:t>Four people on three dates</w:t>
            </w:r>
          </w:p>
        </w:tc>
        <w:tc>
          <w:tcPr>
            <w:tcW w:type="dxa" w:w="3360"/>
          </w:tcPr>
          <w:p>
            <w:r>
              <w:t>4 × 3</w:t>
            </w:r>
          </w:p>
        </w:tc>
        <w:tc>
          <w:tcPr>
            <w:tcW w:type="dxa" w:w="3360"/>
          </w:tcPr>
          <w:p>
            <w:r>
              <w:t>12</w:t>
            </w:r>
          </w:p>
        </w:tc>
      </w:tr>
      <w:tr>
        <w:tc>
          <w:tcPr>
            <w:tcW w:type="dxa" w:w="3360"/>
          </w:tcPr>
          <w:p>
            <w:r>
              <w:t>Pool after the three dates</w:t>
            </w:r>
          </w:p>
        </w:tc>
        <w:tc>
          <w:tcPr>
            <w:tcW w:type="dxa" w:w="3360"/>
          </w:tcPr>
          <w:p>
            <w:r>
              <w:t>20 − 12</w:t>
            </w:r>
          </w:p>
        </w:tc>
        <w:tc>
          <w:tcPr>
            <w:tcW w:type="dxa" w:w="3360"/>
          </w:tcPr>
          <w:p>
            <w:r>
              <w:t>8 remaining</w:t>
            </w:r>
          </w:p>
        </w:tc>
      </w:tr>
    </w:tbl>
    <w:p>
      <w:r>
        <w:t>A plan for three team days is incomplete without the headcount for each date. Use the Team calculator for the same worked example, then adapt the attendance list to your actual plan.</w:t>
      </w:r>
    </w:p>
    <w:p>
      <w:pPr>
        <w:pStyle w:val="Heading2"/>
      </w:pPr>
      <w:r>
        <w:t>Shared room credits</w:t>
        <w:br/>
        <w:t>Two credits cover one hour in Harbor Pebble or Maple. Other locations and catering are outside credit eligibility. The group should agree how it uses the two credits; the plan does not give two to every member. Room capacity still includes all attendees and is separate from the maximum number of named desk members.</w:t>
      </w:r>
    </w:p>
    <w:p>
      <w:pPr>
        <w:pStyle w:val="Heading2"/>
      </w:pPr>
      <w:r>
        <w:t>Account roles</w:t>
        <w:br/>
        <w:t>The account owner and billing admin can download company invoices. An ordinary Team member cannot access them. Historical support messages do not authenticate a present user or grant that role. Use the invoice procedure from an eligible account.</w:t>
      </w:r>
    </w:p>
    <w:p>
      <w:pPr>
        <w:pStyle w:val="Heading2"/>
      </w:pPr>
      <w:r>
        <w:t>Setup and changes</w:t>
        <w:br/>
        <w:t>The onboarding guide walks through naming people, assigning roles, planning attendance and checking the first period. Team has no annual option and cannot use the membership pause offered to eligible monthly Flex and Unlimited plans. Stopping monthly renewal follows the membership cancellation procedure.</w:t>
      </w:r>
    </w:p>
    <w:p>
      <w:r>
        <w:t>Before inviting colleagues, explain the pooled allowance in plain language. A person can understand their own schedule while still misunderstanding the group total; the final onboarding warning addresses that common mistake directly.</w:t>
      </w:r>
    </w:p>
    <w:p>
      <w:r>
        <w:br w:type="page"/>
      </w:r>
    </w:p>
    <w:p>
      <w:pPr>
        <w:pStyle w:val="Heading1"/>
      </w:pPr>
      <w:r>
        <w:t>2 Downloading invoices</w:t>
      </w:r>
    </w:p>
    <w:p>
      <w:r>
        <w:t>The account owner or billing admin can download a company invoice. An ordinary Team member cannot access company invoices. Your current role matters; a historical conversation in which someone else was a billing admin does not authenticate you or grant access.</w:t>
      </w:r>
    </w:p>
    <w:p>
      <w:pPr>
        <w:pStyle w:val="Heading2"/>
      </w:pPr>
      <w:r>
        <w:t>Five steps</w:t>
        <w:br/>
        <w:t>1. Open the member App.</w:t>
        <w:br/>
        <w:t>2. Choose Billing.</w:t>
        <w:br/>
        <w:t>3. Open Invoices.</w:t>
        <w:br/>
        <w:t>4. Select the invoice for the period or purchase you need.</w:t>
        <w:br/>
        <w:t>5. Choose Download PDF.</w:t>
      </w:r>
    </w:p>
    <w:p>
      <w:r>
        <w:t>Keep the invoice reference and billing period together when forwarding the document. A sample invoice in the public demonstration illustrates the interface only. It is not a live company invoice, and the demonstration cannot confirm a real payment.</w:t>
      </w:r>
    </w:p>
    <w:p>
      <w:pPr>
        <w:pStyle w:val="Heading2"/>
      </w:pPr>
      <w:r>
        <w:t>Invoice and receipt</w:t>
        <w:br/>
        <w:t>An invoice describes an amount billed. A payment receipt records a payment. Downloading an invoice does not by itself prove that it has been paid. If a finance colleague needs proof of payment, identify that request explicitly instead of assuming every PDF in the billing area serves the same purpose.</w:t>
      </w:r>
    </w:p>
    <w:p>
      <w:pPr>
        <w:pStyle w:val="Heading2"/>
      </w:pPr>
      <w:r>
        <w:t>Team roles</w:t>
        <w:br/>
        <w:t>Ask the account owner or billing admin to obtain a company invoice if you are an ordinary Team member. Membership in the desk plan does not imply permission to see the team's financial documents. Share the relevant period with the eligible person so they can find the correct record.</w:t>
      </w:r>
    </w:p>
    <w:p>
      <w:pPr>
        <w:pStyle w:val="Heading2"/>
      </w:pPr>
      <w:r>
        <w:t>Details for a billing question</w:t>
        <w:br/>
        <w:t>Include the invoice reference, date and the issue you want resolved. Avoid copying a sample reference from the demo into a real request. A guide can explain a procedure but cannot inspect your account balance or determine whether a bank transfer has arrived.</w:t>
      </w:r>
    </w:p>
    <w:p>
      <w:r>
        <w:t>The downloadable Team billing guide discusses purchase-order references and examples of invoices and receipts. It complements this navigation procedure. Read the relevant section rather than assuming the web procedure contains every billing-specific qualification in the document.</w:t>
      </w:r>
    </w:p>
    <w:p>
      <w:pPr>
        <w:pStyle w:val="Heading2"/>
      </w:pPr>
      <w:r>
        <w:t>Keeping a copy</w:t>
        <w:br/>
        <w:t>Retain the document produced by the actual account along with its reference. If the question concerns a replacement or correction, distinguish the original from the latest document in the correspondence. An old screenshot of a billing menu may use different labels from the current procedure.</w:t>
      </w:r>
    </w:p>
    <w:p>
      <w:r>
        <w:br w:type="page"/>
      </w:r>
    </w:p>
    <w:p>
      <w:pPr>
        <w:pStyle w:val="Heading1"/>
      </w:pPr>
      <w:r>
        <w:t>3 Purchase order references</w:t>
      </w:r>
    </w:p>
    <w:p>
      <w:r>
        <w:t>Team can request a purchase-order reference on the next invoice by giving billing the PO number at least three business days before renewal. Adding a PO reference does not extend the invoice due date.</w:t>
      </w:r>
    </w:p>
    <w:p>
      <w:pPr>
        <w:pStyle w:val="Heading2"/>
      </w:pPr>
      <w:r>
        <w:t>Request contents</w:t>
        <w:br/>
        <w:t>Send the actual PO number, Team account name, next renewal date and a billing contact. Identify the invoice you expect the reference to accompany. The reference helps your own finance process connect the invoice to an approved purchase; it is not evidence that a payment has been made.</w:t>
      </w:r>
    </w:p>
    <w:p>
      <w:pPr>
        <w:pStyle w:val="Heading2"/>
      </w:pPr>
      <w:r>
        <w:t>Timing example</w:t>
        <w:br/>
        <w:t>For a renewal on Monday, with no public holiday in the example, count the preceding business days from Friday back through Thursday to Wednesday. Provide the reference by the three-business-day notice point rather than assuming a weekend message meets it. Business days are Monday through Friday.</w:t>
      </w:r>
    </w:p>
    <w:p>
      <w:pPr>
        <w:pStyle w:val="Heading2"/>
      </w:pPr>
      <w:r>
        <w:t>A late or changed reference</w:t>
        <w:br/>
        <w:t>Ask billing about the particular invoice if the reference arrives late or needs correction. Do not describe a requested edit as complete until the actual invoice reflects it. A revised reference does not change the amount or due date merely by being added.</w:t>
      </w:r>
    </w:p>
    <w:p>
      <w:pPr>
        <w:pStyle w:val="Heading2"/>
      </w:pPr>
      <w:r>
        <w:t>Internal finance records</w:t>
        <w:br/>
        <w:t>Keep your company approval separately from the Acme invoice and any payment receipt. These documents explain different stages. A PO describes your authorization, an invoice describes the bill, and a receipt records payment. Neither a sample number nor a saved screenshot supplies evidence for a real account.</w:t>
      </w:r>
    </w:p>
    <w:p>
      <w:r>
        <w:t>Additional condition</w:t>
      </w:r>
      <w:r>
        <w:footnoteReference w:id="1"/>
      </w:r>
    </w:p>
    <w:p>
      <w:r>
        <w:br w:type="page"/>
      </w:r>
    </w:p>
    <w:p>
      <w:pPr>
        <w:pStyle w:val="Heading1"/>
      </w:pPr>
      <w:r>
        <w:t>4 Invoice and receipt examples</w:t>
      </w:r>
    </w:p>
    <w:p>
      <w:r>
        <w:t>These rows illustrate billing navigation for an account owner or billing admin. Ordinary Team members cannot access company invoices in an actual account. The public demonstration does not authenticate anyone or reveal real financial records.</w:t>
      </w:r>
    </w:p>
    <w:p>
      <w:pPr>
        <w:pStyle w:val="Heading2"/>
      </w:pPr>
      <w:r>
        <w:t>Example invoice records</w:t>
        <w:br/>
        <w:t>| Reference | Period | Amount | Label |</w:t>
        <w:br/>
        <w:t>|---|---|---|---|</w:t>
        <w:br/>
        <w:t>| DEMO-INV-0901 | September 2026 Team | $599 | Example invoice |</w:t>
        <w:br/>
        <w:t>| DEMO-INV-0801 | August 2026 Team | $599 | Example paid invoice |</w:t>
        <w:br/>
        <w:t>| DEMO-RCPT-0801 | August 2026 payment | $599 | Example receipt |</w:t>
      </w:r>
    </w:p>
    <w:p>
      <w:pPr>
        <w:pStyle w:val="Heading2"/>
      </w:pPr>
      <w:r>
        <w:t>Download guidance</w:t>
        <w:br/>
        <w:t>In the actual App, select Billing, then Invoices, select the required record and choose Download PDF. The example download here points to the public Team billing guide, whose sample records explain the distinction. It is not another real invoice or a thirteenth downloadable company document.</w:t>
      </w:r>
    </w:p>
    <w:p>
      <w:pPr>
        <w:pStyle w:val="Heading2"/>
      </w:pPr>
      <w:r>
        <w:t>Invoice versus receipt</w:t>
        <w:br/>
        <w:t>An invoice describes what was billed. A receipt records payment. An invoice labelled as a sample cannot establish a real account's payment status, and downloading one does not itself complete payment. Ask for the document your finance colleague actually needs.</w:t>
      </w:r>
    </w:p>
    <w:p>
      <w:pPr>
        <w:pStyle w:val="Heading2"/>
      </w:pPr>
      <w:r>
        <w:t>If you need help</w:t>
        <w:br/>
        <w:t>Use the real invoice reference and period in your request. State whether the problem concerns navigation, access, a billing detail or proof of payment. Staff need that scope instead of a copied demonstration number. The billing guide contains additional document-specific instructions alongside this app procedure.</w:t>
      </w:r>
    </w:p>
    <w:p>
      <w:pPr>
        <w:pStyle w:val="Heading2"/>
      </w:pPr>
      <w:r>
        <w:t>Sample interpretation</w:t>
        <w:br/>
        <w:t>DEMO-INV-0901 illustrates a September Team invoice for $599. DEMO-RCPT-0801 illustrates a payment receipt for a different period. Both are fictional examples. No bank transfer, charge or balance is established by either sample. A finance colleague must use the documents from the actual account for an actual payment question.</w:t>
      </w:r>
    </w:p>
    <w:p>
      <w:r>
        <w:br w:type="page"/>
      </w:r>
    </w:p>
    <w:p>
      <w:pPr>
        <w:pStyle w:val="Heading1"/>
      </w:pPr>
      <w:r>
        <w:t>5 Renewal and changes</w:t>
      </w:r>
    </w:p>
    <w:p>
      <w:r>
        <w:t>Cancellation in this guide means stopping a membership's next renewal. It does not describe cancelling a room or a day pass. Access continues through the term already paid for, and stopping renewal alone does not refund a payment.</w:t>
      </w:r>
    </w:p>
    <w:p>
      <w:pPr>
        <w:pStyle w:val="Heading2"/>
      </w:pPr>
      <w:r>
        <w:t>Monthly notice</w:t>
        <w:br/>
        <w:t>Stop monthly membership renewal at least seven calendar days before the renewal date. Calendar days include weekends. For a renewal on 30 September 2026, the seven-day notice point is 23 September 2026. Keep the actual renewal date from your account when working out your own notice.</w:t>
      </w:r>
    </w:p>
    <w:p>
      <w:pPr>
        <w:pStyle w:val="Heading2"/>
      </w:pPr>
      <w:r>
        <w:t>Annual notice</w:t>
        <w:br/>
        <w:t>Stop annual renewal at least 30 calendar days before renewal. Annual payment covers a longer term and has a different notice period from monthly membership. Do not use the monthly deadline just because an annual plan shows a monthly-equivalent price.</w:t>
      </w:r>
    </w:p>
    <w:p>
      <w:pPr>
        <w:pStyle w:val="Heading2"/>
      </w:pPr>
      <w:r>
        <w:t>Cancellation procedure</w:t>
        <w:br/>
        <w:t>1. Open your member App.</w:t>
        <w:br/>
        <w:t>2. Choose Membership.</w:t>
        <w:br/>
        <w:t>3. Open Manage renewal.</w:t>
        <w:br/>
        <w:t>4. Choose Cancel renewal and review the displayed term and renewal date.</w:t>
        <w:br/>
        <w:t>5. Complete the account's confirmation step and retain its confirmation.</w:t>
      </w:r>
    </w:p>
    <w:p>
      <w:r>
        <w:t>Viewing the control is not the same as completing it. The public demonstration keeps account-changing buttons disabled. An assistant explaining these steps cannot truthfully claim it has cancelled your membership unless an actual authorized action and confirmation establish that result.</w:t>
      </w:r>
    </w:p>
    <w:p>
      <w:pPr>
        <w:pStyle w:val="Heading2"/>
      </w:pPr>
      <w:r>
        <w:t>Paid-term access and refunds</w:t>
        <w:br/>
        <w:t>After renewal is stopped, the current paid term continues. If you are asking for money back as well, read the separate first-purchase refund guide. Its 14-day limit, no-usage conditions and staff review are not replaced by the renewal notice rule. A later renewal is outside that first-purchase policy.</w:t>
      </w:r>
    </w:p>
    <w:p>
      <w:pPr>
        <w:pStyle w:val="Heading2"/>
      </w:pPr>
      <w:r>
        <w:t>If the dates are unclear</w:t>
        <w:br/>
        <w:t>Check whether the account is monthly or annual and use the latest membership confirmation. Send staff the renewal date and the question you need resolved. Do not borrow a deadline from a room booking, an old screenshot or a support concession for a different customer.</w:t>
      </w:r>
    </w:p>
    <w:p>
      <w:r>
        <w:br w:type="page"/>
      </w:r>
    </w:p>
    <w:p>
      <w:pPr>
        <w:pStyle w:val="Heading1"/>
      </w:pPr>
      <w:r>
        <w:t>6 Asking about a charge</w:t>
      </w:r>
    </w:p>
    <w:p>
      <w:r>
        <w:t>A first membership purchase may be refunded within 14 calendar days only when no desk visit or room booking has been used. Staff must review the request. Subsequent renewals are not covered by this first-purchase policy, and an assistant cannot promise that a payment has been returned.</w:t>
      </w:r>
    </w:p>
    <w:p>
      <w:pPr>
        <w:pStyle w:val="Heading2"/>
      </w:pPr>
      <w:r>
        <w:t>Eligibility</w:t>
        <w:br/>
        <w:t>Read all parts of the condition together: the purchase must be the first membership purchase, the request must be within fourteen calendar days, and no desk visit or room booking may have been used. Being within fourteen days does not remove the no-usage condition. An unused room credit balance also does not prove that no desk visit occurred.</w:t>
      </w:r>
    </w:p>
    <w:p>
      <w:r>
        <w:t>For example, a person who bought a membership nine days ago and has already attended a desk day does not meet the stated unused-membership condition. A person discussing an unused first purchase still needs staff review rather than a guaranteed refund completion.</w:t>
      </w:r>
    </w:p>
    <w:p>
      <w:pPr>
        <w:pStyle w:val="Heading2"/>
      </w:pPr>
      <w:r>
        <w:t>Request steps</w:t>
        <w:br/>
        <w:t>1. Find the first-purchase confirmation and date.</w:t>
        <w:br/>
        <w:t>2. Identify the membership and account involved.</w:t>
        <w:br/>
        <w:t>3. Explain whether any desk visit or room booking has been used.</w:t>
        <w:br/>
        <w:t>4. Contact membership support with the request and relevant confirmation.</w:t>
        <w:br/>
        <w:t>5. Keep the staff response and any actual payment confirmation separately.</w:t>
      </w:r>
    </w:p>
    <w:p>
      <w:r>
        <w:t>These steps help staff understand the request. Sending a message or opening a policy page is not proof that the review has happened or that funds have arrived.</w:t>
      </w:r>
    </w:p>
    <w:p>
      <w:pPr>
        <w:pStyle w:val="Heading2"/>
      </w:pPr>
      <w:r>
        <w:t>Renewal is a different task</w:t>
        <w:br/>
        <w:t>The renewal guide explains how to stop a future charge with the applicable notice. Stopping renewal leaves access through a paid term and does not automatically refund that term. A room refund and a day-pass refund also have their own deadlines, so name the type of purchase when asking for help.</w:t>
      </w:r>
    </w:p>
    <w:p>
      <w:pPr>
        <w:pStyle w:val="Heading2"/>
      </w:pPr>
      <w:r>
        <w:t>What to expect from guidance</w:t>
        <w:br/>
        <w:t>Support can explain the conditions and direct you to the correct process. It should not treat another customer's waived fee or pending review as a general exception. If your circumstances are not covered by the published conditions, describe them to staff without assuming that a review will have a particular outcome.</w:t>
      </w:r>
    </w:p>
    <w:p>
      <w:r>
        <w:t>Keep a request, a review outcome and a payment confirmation as distinct records. A staff statement that a request is pending is not a paid refund.</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Acme Inc. | Port Alder | Prices in USD including fictional taxes | Page </w:t>
    </w:r>
    <w:fldSimple w:instr="PAG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r>
        <w:footnoteRef/>
      </w:r>
      <w:r>
        <w:t>A purchase-order reference never extends the due date. Team billing must receive the PO number at least three business days before renewal.</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ACME WORKSPACES  /  MEMBER GUIDES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Acme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billing guide</dc:title>
  <dc:subject/>
  <dc:creator>Acme Workspaces</dc:creator>
  <cp:keywords/>
  <dc:description>generated by python-docx</dc:description>
  <cp:lastModifiedBy/>
  <cp:revision>1</cp:revision>
  <dcterms:created xsi:type="dcterms:W3CDTF">2026-09-14T12:00:00Z</dcterms:created>
  <dcterms:modified xsi:type="dcterms:W3CDTF">2026-09-14T12:00:00Z</dcterms:modified>
  <cp:category/>
</cp:coreProperties>
</file>